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422BA081"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B00A15">
        <w:rPr>
          <w:b/>
          <w:noProof/>
          <w:sz w:val="24"/>
        </w:rPr>
        <w:t>3</w:t>
      </w:r>
      <w:r w:rsidRPr="00911A38">
        <w:rPr>
          <w:b/>
          <w:noProof/>
          <w:sz w:val="24"/>
        </w:rPr>
        <w:tab/>
        <w:t>Tdoc R3-1</w:t>
      </w:r>
      <w:r w:rsidR="00095165">
        <w:rPr>
          <w:b/>
          <w:noProof/>
          <w:sz w:val="24"/>
        </w:rPr>
        <w:t>90717</w:t>
      </w:r>
    </w:p>
    <w:p w14:paraId="484087CF" w14:textId="64A18C55" w:rsidR="00890293" w:rsidRDefault="00B00A15" w:rsidP="00E27F0B">
      <w:pPr>
        <w:pStyle w:val="3GPPHeader"/>
        <w:rPr>
          <w:noProof/>
        </w:rPr>
      </w:pPr>
      <w:r>
        <w:rPr>
          <w:noProof/>
        </w:rPr>
        <w:t>Athens, Greece, 25</w:t>
      </w:r>
      <w:r w:rsidR="00E27F0B" w:rsidRPr="00B00A15">
        <w:rPr>
          <w:noProof/>
          <w:vertAlign w:val="superscript"/>
        </w:rPr>
        <w:t>th</w:t>
      </w:r>
      <w:r>
        <w:rPr>
          <w:noProof/>
        </w:rPr>
        <w:t xml:space="preserve"> February – 1</w:t>
      </w:r>
      <w:r w:rsidRPr="00B00A15">
        <w:rPr>
          <w:noProof/>
          <w:vertAlign w:val="superscript"/>
        </w:rPr>
        <w:t>st</w:t>
      </w:r>
      <w:r>
        <w:rPr>
          <w:noProof/>
        </w:rPr>
        <w:t xml:space="preserve"> March</w:t>
      </w:r>
    </w:p>
    <w:p w14:paraId="1411FD9E" w14:textId="77777777" w:rsidR="00E27F0B" w:rsidRPr="00E27F0B" w:rsidRDefault="00E27F0B" w:rsidP="00E27F0B">
      <w:pPr>
        <w:pStyle w:val="3GPPHeader"/>
        <w:rPr>
          <w:sz w:val="22"/>
          <w:szCs w:val="22"/>
          <w:lang w:val="en-US"/>
        </w:rPr>
      </w:pPr>
    </w:p>
    <w:p w14:paraId="4A4F422A" w14:textId="59A01B7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91FF9">
        <w:rPr>
          <w:sz w:val="22"/>
          <w:szCs w:val="22"/>
          <w:lang w:val="en-US"/>
        </w:rPr>
        <w:t>09.3.09</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73DCE31E"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B00A15">
        <w:rPr>
          <w:sz w:val="22"/>
          <w:szCs w:val="22"/>
        </w:rPr>
        <w:t xml:space="preserve">About </w:t>
      </w:r>
      <w:r w:rsidR="00B00A15" w:rsidRPr="00B00A15">
        <w:rPr>
          <w:sz w:val="20"/>
          <w:szCs w:val="22"/>
        </w:rPr>
        <w:t>i</w:t>
      </w:r>
      <w:r w:rsidR="00B00A15" w:rsidRPr="00B00A15">
        <w:rPr>
          <w:noProof/>
          <w:sz w:val="22"/>
        </w:rPr>
        <w:t>ndication that cells are only UL or DL on F1</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349C175" w14:textId="3488A2D1" w:rsidR="006879F5" w:rsidRDefault="00B00A15" w:rsidP="00EA5E48">
      <w:bookmarkStart w:id="0" w:name="_Hlk509768508"/>
      <w:r>
        <w:t xml:space="preserve">In </w:t>
      </w:r>
      <w:r w:rsidR="00581C2C">
        <w:t>t</w:t>
      </w:r>
      <w:r w:rsidR="006879F5">
        <w:t>he</w:t>
      </w:r>
      <w:bookmarkEnd w:id="0"/>
      <w:r>
        <w:t xml:space="preserve"> previous meeting it was discussed to provide an indication that a cell is only UL or DL in F1. In this contribution we provide arguments on the necessity of the indication and we put forward our thoughts on the matter.</w:t>
      </w:r>
    </w:p>
    <w:p w14:paraId="217E4F33" w14:textId="65C30AD0" w:rsidR="00407B72" w:rsidRDefault="00407B72" w:rsidP="00407B72">
      <w:pPr>
        <w:pStyle w:val="Heading1"/>
      </w:pPr>
      <w:r>
        <w:t>Discussion</w:t>
      </w:r>
    </w:p>
    <w:p w14:paraId="3AF4DF50" w14:textId="11DDB2BF" w:rsidR="00C873BC" w:rsidRDefault="0083433A" w:rsidP="005E7114">
      <w:pPr>
        <w:pStyle w:val="BodyText"/>
        <w:spacing w:before="120"/>
      </w:pPr>
      <w:bookmarkStart w:id="1" w:name="_Hlk509769073"/>
      <w:r>
        <w:t>Currently in F1AP there is no indication th</w:t>
      </w:r>
      <w:r w:rsidR="003A072D">
        <w:t>a</w:t>
      </w:r>
      <w:r>
        <w:t xml:space="preserve">t a cell is only </w:t>
      </w:r>
      <w:r w:rsidR="005E7114">
        <w:t xml:space="preserve">UL or DL. As a result, there is a </w:t>
      </w:r>
      <w:r w:rsidR="005E7114">
        <w:rPr>
          <w:noProof/>
        </w:rPr>
        <w:t>lack of awareness of the direction the cell is participating. This could potentially lead to confusion and errors.</w:t>
      </w:r>
      <w:r w:rsidR="003A072D">
        <w:t xml:space="preserve"> </w:t>
      </w:r>
    </w:p>
    <w:p w14:paraId="011F00D6" w14:textId="7CF664AE" w:rsidR="007634EE" w:rsidRDefault="007634EE" w:rsidP="005E7114">
      <w:pPr>
        <w:pStyle w:val="BodyText"/>
        <w:spacing w:before="120"/>
      </w:pPr>
      <w:r>
        <w:t xml:space="preserve">It should be highlighted that the F1 supports ways to indicate that a given cell shall be used as SUL for a given UE. This can be done via configuration of the </w:t>
      </w:r>
      <w:r w:rsidRPr="00BF2D1D">
        <w:rPr>
          <w:i/>
        </w:rPr>
        <w:t>Cell UL Configured</w:t>
      </w:r>
      <w:r>
        <w:t xml:space="preserve"> IE:</w:t>
      </w:r>
    </w:p>
    <w:tbl>
      <w:tblPr>
        <w:tblW w:w="0" w:type="auto"/>
        <w:jc w:val="center"/>
        <w:tblCellMar>
          <w:left w:w="0" w:type="dxa"/>
          <w:right w:w="0" w:type="dxa"/>
        </w:tblCellMar>
        <w:tblLook w:val="04A0" w:firstRow="1" w:lastRow="0" w:firstColumn="1" w:lastColumn="0" w:noHBand="0" w:noVBand="1"/>
      </w:tblPr>
      <w:tblGrid>
        <w:gridCol w:w="2552"/>
        <w:gridCol w:w="1134"/>
        <w:gridCol w:w="1275"/>
        <w:gridCol w:w="1985"/>
        <w:gridCol w:w="2410"/>
      </w:tblGrid>
      <w:tr w:rsidR="007634EE" w14:paraId="0B4E4911" w14:textId="77777777" w:rsidTr="007634EE">
        <w:trPr>
          <w:jc w:val="center"/>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6EDD67" w14:textId="77777777" w:rsidR="007634EE" w:rsidRDefault="007634EE">
            <w:pPr>
              <w:pStyle w:val="TAH"/>
              <w:rPr>
                <w:lang w:eastAsia="ja-JP"/>
              </w:rPr>
            </w:pPr>
            <w:r>
              <w:rPr>
                <w:lang w:eastAsia="ja-JP"/>
              </w:rPr>
              <w:t>IE/Group Name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09A46" w14:textId="77777777" w:rsidR="007634EE" w:rsidRDefault="007634EE">
            <w:pPr>
              <w:pStyle w:val="TAH"/>
              <w:rPr>
                <w:lang w:eastAsia="ja-JP"/>
              </w:rPr>
            </w:pPr>
            <w:r>
              <w:rPr>
                <w:lang w:eastAsia="ja-JP"/>
              </w:rPr>
              <w:t>Presence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9B51CF" w14:textId="77777777" w:rsidR="007634EE" w:rsidRDefault="007634EE">
            <w:pPr>
              <w:pStyle w:val="TAH"/>
              <w:rPr>
                <w:lang w:eastAsia="ja-JP"/>
              </w:rPr>
            </w:pPr>
            <w:r>
              <w:rPr>
                <w:lang w:eastAsia="ja-JP"/>
              </w:rPr>
              <w:t>Range</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E5EFE" w14:textId="77777777" w:rsidR="007634EE" w:rsidRDefault="007634EE">
            <w:pPr>
              <w:pStyle w:val="TAH"/>
              <w:rPr>
                <w:lang w:eastAsia="ja-JP"/>
              </w:rPr>
            </w:pPr>
            <w:r>
              <w:rPr>
                <w:lang w:eastAsia="ja-JP"/>
              </w:rPr>
              <w:t>IE type and reference</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F2C95" w14:textId="77777777" w:rsidR="007634EE" w:rsidRDefault="007634EE">
            <w:pPr>
              <w:pStyle w:val="TAH"/>
              <w:rPr>
                <w:lang w:eastAsia="ja-JP"/>
              </w:rPr>
            </w:pPr>
            <w:r>
              <w:rPr>
                <w:lang w:eastAsia="ja-JP"/>
              </w:rPr>
              <w:t>Semantics description</w:t>
            </w:r>
          </w:p>
        </w:tc>
      </w:tr>
      <w:tr w:rsidR="007634EE" w14:paraId="4DD6A760" w14:textId="77777777" w:rsidTr="007634EE">
        <w:trPr>
          <w:jc w:val="center"/>
        </w:trPr>
        <w:tc>
          <w:tcPr>
            <w:tcW w:w="2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5CB3F" w14:textId="77777777" w:rsidR="007634EE" w:rsidRDefault="007634EE">
            <w:pPr>
              <w:pStyle w:val="TAL"/>
              <w:rPr>
                <w:lang w:eastAsia="zh-CN"/>
              </w:rPr>
            </w:pPr>
            <w:r>
              <w:rPr>
                <w:lang w:eastAsia="zh-CN"/>
              </w:rPr>
              <w:t>Cell UL Configured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76300F5" w14:textId="77777777" w:rsidR="007634EE" w:rsidRDefault="007634EE">
            <w:pPr>
              <w:pStyle w:val="TAL"/>
              <w:rPr>
                <w:lang w:eastAsia="ja-JP"/>
              </w:rPr>
            </w:pPr>
            <w:r>
              <w:rPr>
                <w:lang w:eastAsia="ja-JP"/>
              </w:rPr>
              <w:t xml:space="preserve">M </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C28A560" w14:textId="77777777" w:rsidR="007634EE" w:rsidRDefault="007634EE">
            <w:pPr>
              <w:pStyle w:val="TAL"/>
              <w:rPr>
                <w:lang w:eastAsia="ja-JP"/>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E5D1CB5" w14:textId="77777777" w:rsidR="007634EE" w:rsidRDefault="007634EE">
            <w:pPr>
              <w:pStyle w:val="TAL"/>
              <w:rPr>
                <w:lang w:eastAsia="ja-JP"/>
              </w:rPr>
            </w:pPr>
            <w:r>
              <w:rPr>
                <w:lang w:eastAsia="ja-JP"/>
              </w:rPr>
              <w:t xml:space="preserve">ENUMERATED (none, </w:t>
            </w:r>
            <w:r>
              <w:rPr>
                <w:lang w:eastAsia="zh-CN"/>
              </w:rPr>
              <w:t>UL, SUL, UL and SUL</w:t>
            </w:r>
            <w:r>
              <w:rPr>
                <w:lang w:eastAsia="ja-JP"/>
              </w:rPr>
              <w:t xml:space="preserve">, ...)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5231483" w14:textId="77777777" w:rsidR="007634EE" w:rsidRDefault="007634EE">
            <w:pPr>
              <w:pStyle w:val="TAL"/>
              <w:rPr>
                <w:lang w:eastAsia="ja-JP"/>
              </w:rPr>
            </w:pPr>
            <w:r>
              <w:rPr>
                <w:lang w:eastAsia="ja-JP"/>
              </w:rPr>
              <w:t>Further details are defined in TS 38.331 [8]</w:t>
            </w:r>
          </w:p>
        </w:tc>
      </w:tr>
    </w:tbl>
    <w:p w14:paraId="3EDFFA26" w14:textId="138172BB" w:rsidR="007634EE" w:rsidRDefault="007634EE" w:rsidP="007634EE">
      <w:pPr>
        <w:rPr>
          <w:rFonts w:ascii="Calibri" w:eastAsiaTheme="minorHAnsi" w:hAnsi="Calibri" w:cs="Calibri"/>
          <w:sz w:val="22"/>
          <w:szCs w:val="22"/>
          <w:lang w:eastAsia="en-US"/>
        </w:rPr>
      </w:pPr>
    </w:p>
    <w:p w14:paraId="681B2BCD" w14:textId="1E50BD72" w:rsidR="007634EE" w:rsidRPr="00BF2D1D" w:rsidRDefault="007634EE" w:rsidP="00BF2D1D">
      <w:pPr>
        <w:pStyle w:val="BodyText"/>
        <w:spacing w:before="120"/>
      </w:pPr>
      <w:r w:rsidRPr="00BF2D1D">
        <w:t xml:space="preserve">It could be possible to add a further indication to this parameter that states the use of a given cell for a UE as SDL, i.e. for DL only. This would allow the use of a cell for a UE for UL or DL only. While this concept is interesting, </w:t>
      </w:r>
      <w:r w:rsidR="009B613C" w:rsidRPr="00BF2D1D">
        <w:t xml:space="preserve">it does not deliver what this paper proposes. This paper proposes to allow an operator to configure a cell for UL and DL only at the </w:t>
      </w:r>
      <w:proofErr w:type="spellStart"/>
      <w:r w:rsidR="009B613C" w:rsidRPr="00BF2D1D">
        <w:t>gNB</w:t>
      </w:r>
      <w:proofErr w:type="spellEnd"/>
      <w:r w:rsidR="009B613C" w:rsidRPr="00BF2D1D">
        <w:t xml:space="preserve">-DU (which is where cell configuration management </w:t>
      </w:r>
      <w:proofErr w:type="gramStart"/>
      <w:r w:rsidR="009B613C" w:rsidRPr="00BF2D1D">
        <w:t>occurs)  and</w:t>
      </w:r>
      <w:proofErr w:type="gramEnd"/>
      <w:r w:rsidR="009B613C" w:rsidRPr="00BF2D1D">
        <w:t xml:space="preserve"> </w:t>
      </w:r>
      <w:r w:rsidR="008E4C2B" w:rsidRPr="00BF2D1D">
        <w:t xml:space="preserve">to </w:t>
      </w:r>
      <w:r w:rsidR="009B613C" w:rsidRPr="00BF2D1D">
        <w:t xml:space="preserve">allow the </w:t>
      </w:r>
      <w:proofErr w:type="spellStart"/>
      <w:r w:rsidR="009B613C" w:rsidRPr="00BF2D1D">
        <w:t>gNB</w:t>
      </w:r>
      <w:proofErr w:type="spellEnd"/>
      <w:r w:rsidR="009B613C" w:rsidRPr="00BF2D1D">
        <w:t xml:space="preserve">-DU </w:t>
      </w:r>
      <w:r w:rsidR="008E4C2B" w:rsidRPr="00BF2D1D">
        <w:t xml:space="preserve">to indicate that such cell is for DL or UL only use to the </w:t>
      </w:r>
      <w:proofErr w:type="spellStart"/>
      <w:r w:rsidR="008E4C2B" w:rsidRPr="00BF2D1D">
        <w:t>gNB</w:t>
      </w:r>
      <w:proofErr w:type="spellEnd"/>
      <w:r w:rsidR="008E4C2B" w:rsidRPr="00BF2D1D">
        <w:t xml:space="preserve">-CU, so that the </w:t>
      </w:r>
      <w:proofErr w:type="spellStart"/>
      <w:r w:rsidR="008E4C2B" w:rsidRPr="00BF2D1D">
        <w:t>gNB</w:t>
      </w:r>
      <w:proofErr w:type="spellEnd"/>
      <w:r w:rsidR="008E4C2B" w:rsidRPr="00BF2D1D">
        <w:t xml:space="preserve">-CU can take this information into account when e.g. choosing </w:t>
      </w:r>
      <w:proofErr w:type="spellStart"/>
      <w:r w:rsidR="008E4C2B" w:rsidRPr="00BF2D1D">
        <w:t>SpCells</w:t>
      </w:r>
      <w:proofErr w:type="spellEnd"/>
      <w:r w:rsidR="008E4C2B" w:rsidRPr="00BF2D1D">
        <w:t xml:space="preserve"> or cells for CA</w:t>
      </w:r>
      <w:r w:rsidRPr="00BF2D1D">
        <w:t>.</w:t>
      </w:r>
      <w:r w:rsidR="008E4C2B" w:rsidRPr="00BF2D1D">
        <w:t xml:space="preserve"> The indication in the </w:t>
      </w:r>
      <w:r w:rsidR="008E4C2B" w:rsidRPr="00BF2D1D">
        <w:rPr>
          <w:i/>
        </w:rPr>
        <w:t>Cell UL Configured</w:t>
      </w:r>
      <w:r w:rsidR="008E4C2B">
        <w:t xml:space="preserve"> IE comes from the </w:t>
      </w:r>
      <w:proofErr w:type="spellStart"/>
      <w:r w:rsidR="008E4C2B">
        <w:t>gNB</w:t>
      </w:r>
      <w:proofErr w:type="spellEnd"/>
      <w:r w:rsidR="008E4C2B">
        <w:t xml:space="preserve">-CU to the </w:t>
      </w:r>
      <w:proofErr w:type="spellStart"/>
      <w:r w:rsidR="008E4C2B">
        <w:t>gNB</w:t>
      </w:r>
      <w:proofErr w:type="spellEnd"/>
      <w:r w:rsidR="008E4C2B">
        <w:t>-DU and it indicates a per UE configuration that has been decided at RRC level.</w:t>
      </w:r>
    </w:p>
    <w:p w14:paraId="6F638F32" w14:textId="415BA420" w:rsidR="007634EE" w:rsidRDefault="007634EE" w:rsidP="005E7114">
      <w:pPr>
        <w:pStyle w:val="BodyText"/>
        <w:spacing w:before="120"/>
      </w:pPr>
    </w:p>
    <w:p w14:paraId="7F41928C" w14:textId="2572DBC1" w:rsidR="002B69C5" w:rsidRDefault="002B69C5" w:rsidP="005E7114">
      <w:pPr>
        <w:pStyle w:val="BodyText"/>
        <w:spacing w:before="120"/>
      </w:pPr>
      <w:r>
        <w:t>In the following we will examine cases where we believe that knowledge of the cell direction is necessary.</w:t>
      </w:r>
    </w:p>
    <w:p w14:paraId="1847C9AD" w14:textId="687588EE" w:rsidR="000B0783" w:rsidRDefault="002B69C5" w:rsidP="000B0783">
      <w:pPr>
        <w:rPr>
          <w:rFonts w:ascii="Calibri" w:hAnsi="Calibri"/>
          <w:lang w:eastAsia="en-US"/>
        </w:rPr>
      </w:pPr>
      <w:r>
        <w:rPr>
          <w:lang w:eastAsia="en-US"/>
        </w:rPr>
        <w:t xml:space="preserve">First, we examine the case of CA. The </w:t>
      </w:r>
      <w:proofErr w:type="spellStart"/>
      <w:r>
        <w:rPr>
          <w:lang w:eastAsia="en-US"/>
        </w:rPr>
        <w:t>gNB</w:t>
      </w:r>
      <w:proofErr w:type="spellEnd"/>
      <w:r>
        <w:rPr>
          <w:lang w:eastAsia="en-US"/>
        </w:rPr>
        <w:t xml:space="preserve">-CU controls CA and it would be necessary to know if the possible additional CA legs are unidirectional or bidirectional </w:t>
      </w:r>
      <w:proofErr w:type="gramStart"/>
      <w:r>
        <w:rPr>
          <w:lang w:eastAsia="en-US"/>
        </w:rPr>
        <w:t>in order to</w:t>
      </w:r>
      <w:proofErr w:type="gramEnd"/>
      <w:r>
        <w:rPr>
          <w:lang w:eastAsia="en-US"/>
        </w:rPr>
        <w:t xml:space="preserve"> make an informed choice and pick the best cells. In that way </w:t>
      </w:r>
      <w:r w:rsidR="00F02C1A">
        <w:rPr>
          <w:lang w:eastAsia="en-US"/>
        </w:rPr>
        <w:t>uni</w:t>
      </w:r>
      <w:r>
        <w:rPr>
          <w:lang w:eastAsia="en-US"/>
        </w:rPr>
        <w:t>directional CA legs will be used if deemed as better choices.</w:t>
      </w:r>
    </w:p>
    <w:p w14:paraId="3E771FEF" w14:textId="55F30E39" w:rsidR="005E7114" w:rsidRDefault="00A97A50" w:rsidP="005E7114">
      <w:pPr>
        <w:rPr>
          <w:lang w:val="en-US" w:eastAsia="en-US"/>
        </w:rPr>
      </w:pPr>
      <w:r>
        <w:rPr>
          <w:lang w:eastAsia="en-US"/>
        </w:rPr>
        <w:t xml:space="preserve">Another important issue to take under consideration is related to </w:t>
      </w:r>
      <w:proofErr w:type="spellStart"/>
      <w:r>
        <w:rPr>
          <w:lang w:eastAsia="en-US"/>
        </w:rPr>
        <w:t>SpCells</w:t>
      </w:r>
      <w:proofErr w:type="spellEnd"/>
      <w:r>
        <w:rPr>
          <w:lang w:eastAsia="en-US"/>
        </w:rPr>
        <w:t xml:space="preserve">. A </w:t>
      </w:r>
      <w:proofErr w:type="spellStart"/>
      <w:r>
        <w:rPr>
          <w:lang w:eastAsia="en-US"/>
        </w:rPr>
        <w:t>uni</w:t>
      </w:r>
      <w:proofErr w:type="spellEnd"/>
      <w:r>
        <w:rPr>
          <w:lang w:eastAsia="en-US"/>
        </w:rPr>
        <w:t xml:space="preserve">-directional cell can’t be used as </w:t>
      </w:r>
      <w:proofErr w:type="spellStart"/>
      <w:r>
        <w:rPr>
          <w:lang w:eastAsia="en-US"/>
        </w:rPr>
        <w:t>SpCell</w:t>
      </w:r>
      <w:proofErr w:type="spellEnd"/>
      <w:r>
        <w:rPr>
          <w:lang w:eastAsia="en-US"/>
        </w:rPr>
        <w:t xml:space="preserve">. In SA no indication is needed because </w:t>
      </w:r>
      <w:r>
        <w:rPr>
          <w:lang w:val="en-US" w:eastAsia="en-US"/>
        </w:rPr>
        <w:t xml:space="preserve">the </w:t>
      </w:r>
      <w:proofErr w:type="spellStart"/>
      <w:r>
        <w:rPr>
          <w:lang w:val="en-US" w:eastAsia="en-US"/>
        </w:rPr>
        <w:t>gNB</w:t>
      </w:r>
      <w:proofErr w:type="spellEnd"/>
      <w:r>
        <w:rPr>
          <w:lang w:val="en-US" w:eastAsia="en-US"/>
        </w:rPr>
        <w:t xml:space="preserve">-DU indicates </w:t>
      </w:r>
      <w:r w:rsidR="00CB45D1">
        <w:rPr>
          <w:lang w:val="en-US" w:eastAsia="en-US"/>
        </w:rPr>
        <w:t xml:space="preserve">the </w:t>
      </w:r>
      <w:proofErr w:type="spellStart"/>
      <w:r>
        <w:rPr>
          <w:lang w:val="en-US" w:eastAsia="en-US"/>
        </w:rPr>
        <w:t>SpCell</w:t>
      </w:r>
      <w:proofErr w:type="spellEnd"/>
      <w:r>
        <w:rPr>
          <w:lang w:val="en-US" w:eastAsia="en-US"/>
        </w:rPr>
        <w:t xml:space="preserve">. This is not the case for EN-DC though, where it’s the </w:t>
      </w:r>
      <w:proofErr w:type="spellStart"/>
      <w:r>
        <w:rPr>
          <w:lang w:val="en-US" w:eastAsia="en-US"/>
        </w:rPr>
        <w:t>gNB</w:t>
      </w:r>
      <w:proofErr w:type="spellEnd"/>
      <w:r>
        <w:rPr>
          <w:lang w:val="en-US" w:eastAsia="en-US"/>
        </w:rPr>
        <w:t xml:space="preserve">-CU that chooses </w:t>
      </w:r>
      <w:proofErr w:type="spellStart"/>
      <w:r>
        <w:rPr>
          <w:lang w:val="en-US" w:eastAsia="en-US"/>
        </w:rPr>
        <w:t>SpCells</w:t>
      </w:r>
      <w:proofErr w:type="spellEnd"/>
      <w:r>
        <w:rPr>
          <w:lang w:val="en-US" w:eastAsia="en-US"/>
        </w:rPr>
        <w:t>.</w:t>
      </w:r>
    </w:p>
    <w:p w14:paraId="7B10E74B" w14:textId="102C1BE9" w:rsidR="005E7114" w:rsidRDefault="00A97A50" w:rsidP="005E7114">
      <w:pPr>
        <w:rPr>
          <w:lang w:val="en-US" w:eastAsia="en-US"/>
        </w:rPr>
      </w:pPr>
      <w:r>
        <w:rPr>
          <w:lang w:val="en-US" w:eastAsia="en-US"/>
        </w:rPr>
        <w:t>In that case if there is no indication regarding the cell direction, t</w:t>
      </w:r>
      <w:r w:rsidR="005E7114">
        <w:rPr>
          <w:lang w:val="en-US" w:eastAsia="en-US"/>
        </w:rPr>
        <w:t xml:space="preserve">he </w:t>
      </w:r>
      <w:proofErr w:type="spellStart"/>
      <w:r w:rsidR="001C745F">
        <w:rPr>
          <w:lang w:val="en-US" w:eastAsia="en-US"/>
        </w:rPr>
        <w:t>g</w:t>
      </w:r>
      <w:r>
        <w:rPr>
          <w:lang w:val="en-US" w:eastAsia="en-US"/>
        </w:rPr>
        <w:t>NB</w:t>
      </w:r>
      <w:proofErr w:type="spellEnd"/>
      <w:r>
        <w:rPr>
          <w:lang w:val="en-US" w:eastAsia="en-US"/>
        </w:rPr>
        <w:t>-CU would need to</w:t>
      </w:r>
      <w:r w:rsidR="005E7114">
        <w:rPr>
          <w:lang w:val="en-US" w:eastAsia="en-US"/>
        </w:rPr>
        <w:t xml:space="preserve"> negotiate </w:t>
      </w:r>
      <w:proofErr w:type="spellStart"/>
      <w:r w:rsidR="005E7114">
        <w:rPr>
          <w:lang w:val="en-US" w:eastAsia="en-US"/>
        </w:rPr>
        <w:t>SpCell</w:t>
      </w:r>
      <w:proofErr w:type="spellEnd"/>
      <w:r w:rsidR="005E7114">
        <w:rPr>
          <w:lang w:val="en-US" w:eastAsia="en-US"/>
        </w:rPr>
        <w:t xml:space="preserve"> using repeated F1 UE Context Setup with the </w:t>
      </w:r>
      <w:proofErr w:type="spellStart"/>
      <w:r w:rsidR="005E7114">
        <w:rPr>
          <w:lang w:val="en-US" w:eastAsia="en-US"/>
        </w:rPr>
        <w:t>SpCell</w:t>
      </w:r>
      <w:proofErr w:type="spellEnd"/>
      <w:r w:rsidR="005E7114">
        <w:rPr>
          <w:lang w:val="en-US" w:eastAsia="en-US"/>
        </w:rPr>
        <w:t xml:space="preserve"> candidate</w:t>
      </w:r>
      <w:r>
        <w:rPr>
          <w:lang w:val="en-US" w:eastAsia="en-US"/>
        </w:rPr>
        <w:t xml:space="preserve"> list, which is</w:t>
      </w:r>
      <w:r w:rsidR="005E7114">
        <w:rPr>
          <w:lang w:val="en-US" w:eastAsia="en-US"/>
        </w:rPr>
        <w:t xml:space="preserve"> </w:t>
      </w:r>
      <w:r>
        <w:rPr>
          <w:lang w:val="en-US" w:eastAsia="en-US"/>
        </w:rPr>
        <w:t xml:space="preserve">clearly </w:t>
      </w:r>
      <w:r w:rsidR="005E7114">
        <w:rPr>
          <w:lang w:val="en-US" w:eastAsia="en-US"/>
        </w:rPr>
        <w:t xml:space="preserve">inefficient. </w:t>
      </w:r>
    </w:p>
    <w:p w14:paraId="1DE4A404" w14:textId="73B44992" w:rsidR="005E7114" w:rsidRDefault="00A97A50" w:rsidP="005E7114">
      <w:pPr>
        <w:rPr>
          <w:lang w:val="en-US" w:eastAsia="en-US"/>
        </w:rPr>
      </w:pPr>
      <w:r>
        <w:rPr>
          <w:lang w:val="en-US" w:eastAsia="en-US"/>
        </w:rPr>
        <w:t xml:space="preserve">Finally, we can consider that in the case that there exist </w:t>
      </w:r>
      <w:r w:rsidR="005E7114">
        <w:rPr>
          <w:lang w:val="en-US" w:eastAsia="en-US"/>
        </w:rPr>
        <w:t xml:space="preserve">many </w:t>
      </w:r>
      <w:proofErr w:type="spellStart"/>
      <w:r w:rsidR="005E7114">
        <w:rPr>
          <w:lang w:val="en-US" w:eastAsia="en-US"/>
        </w:rPr>
        <w:t>SC</w:t>
      </w:r>
      <w:r>
        <w:rPr>
          <w:lang w:val="en-US" w:eastAsia="en-US"/>
        </w:rPr>
        <w:t>ell</w:t>
      </w:r>
      <w:proofErr w:type="spellEnd"/>
      <w:r>
        <w:rPr>
          <w:lang w:val="en-US" w:eastAsia="en-US"/>
        </w:rPr>
        <w:t xml:space="preserve"> </w:t>
      </w:r>
      <w:r w:rsidR="00F02C1A">
        <w:rPr>
          <w:lang w:val="en-US" w:eastAsia="en-US"/>
        </w:rPr>
        <w:t>candidates,</w:t>
      </w:r>
      <w:r>
        <w:rPr>
          <w:lang w:val="en-US" w:eastAsia="en-US"/>
        </w:rPr>
        <w:t xml:space="preserve"> but some are uni</w:t>
      </w:r>
      <w:r w:rsidR="005E7114">
        <w:rPr>
          <w:lang w:val="en-US" w:eastAsia="en-US"/>
        </w:rPr>
        <w:t>directional,</w:t>
      </w:r>
      <w:r>
        <w:rPr>
          <w:lang w:val="en-US" w:eastAsia="en-US"/>
        </w:rPr>
        <w:t xml:space="preserve"> the </w:t>
      </w:r>
      <w:proofErr w:type="spellStart"/>
      <w:r w:rsidR="00F02C1A">
        <w:rPr>
          <w:lang w:val="en-US" w:eastAsia="en-US"/>
        </w:rPr>
        <w:t>gNB</w:t>
      </w:r>
      <w:proofErr w:type="spellEnd"/>
      <w:r w:rsidR="00F02C1A">
        <w:rPr>
          <w:lang w:val="en-US" w:eastAsia="en-US"/>
        </w:rPr>
        <w:t xml:space="preserve">-CU would need </w:t>
      </w:r>
      <w:r w:rsidR="005E7114">
        <w:rPr>
          <w:lang w:val="en-US" w:eastAsia="en-US"/>
        </w:rPr>
        <w:t>to choose a good balance of uni</w:t>
      </w:r>
      <w:r w:rsidR="00F02C1A">
        <w:rPr>
          <w:lang w:val="en-US" w:eastAsia="en-US"/>
        </w:rPr>
        <w:t>directional</w:t>
      </w:r>
      <w:r w:rsidR="005E7114">
        <w:rPr>
          <w:lang w:val="en-US" w:eastAsia="en-US"/>
        </w:rPr>
        <w:t xml:space="preserve"> and bi-directional </w:t>
      </w:r>
      <w:proofErr w:type="spellStart"/>
      <w:r w:rsidR="005E7114">
        <w:rPr>
          <w:lang w:val="en-US" w:eastAsia="en-US"/>
        </w:rPr>
        <w:t>SCells</w:t>
      </w:r>
      <w:proofErr w:type="spellEnd"/>
      <w:r w:rsidR="005E7114">
        <w:rPr>
          <w:lang w:val="en-US" w:eastAsia="en-US"/>
        </w:rPr>
        <w:t xml:space="preserve"> for a balanced </w:t>
      </w:r>
      <w:r w:rsidR="005E7114">
        <w:rPr>
          <w:lang w:val="en-US" w:eastAsia="en-US"/>
        </w:rPr>
        <w:lastRenderedPageBreak/>
        <w:t xml:space="preserve">DL/UL throughput. </w:t>
      </w:r>
      <w:r w:rsidR="00F02C1A">
        <w:rPr>
          <w:lang w:val="en-US" w:eastAsia="en-US"/>
        </w:rPr>
        <w:t xml:space="preserve">To this end, it would be necessary for the </w:t>
      </w:r>
      <w:proofErr w:type="spellStart"/>
      <w:r w:rsidR="001C745F">
        <w:rPr>
          <w:lang w:val="en-US" w:eastAsia="en-US"/>
        </w:rPr>
        <w:t>g</w:t>
      </w:r>
      <w:r w:rsidR="00F02C1A">
        <w:rPr>
          <w:lang w:val="en-US" w:eastAsia="en-US"/>
        </w:rPr>
        <w:t>NB</w:t>
      </w:r>
      <w:proofErr w:type="spellEnd"/>
      <w:r w:rsidR="00F02C1A">
        <w:rPr>
          <w:lang w:val="en-US" w:eastAsia="en-US"/>
        </w:rPr>
        <w:t xml:space="preserve">-CU to know about the cell direction </w:t>
      </w:r>
      <w:proofErr w:type="gramStart"/>
      <w:r w:rsidR="00F02C1A">
        <w:rPr>
          <w:lang w:val="en-US" w:eastAsia="en-US"/>
        </w:rPr>
        <w:t>in order to</w:t>
      </w:r>
      <w:proofErr w:type="gramEnd"/>
      <w:r w:rsidR="00F02C1A">
        <w:rPr>
          <w:lang w:val="en-US" w:eastAsia="en-US"/>
        </w:rPr>
        <w:t xml:space="preserve"> be able to make the choice.</w:t>
      </w:r>
    </w:p>
    <w:p w14:paraId="66776018" w14:textId="2E46E9C0" w:rsidR="008E4C2B" w:rsidRDefault="008E4C2B" w:rsidP="005E7114">
      <w:pPr>
        <w:rPr>
          <w:lang w:val="en-US" w:eastAsia="en-US"/>
        </w:rPr>
      </w:pPr>
      <w:r>
        <w:rPr>
          <w:lang w:val="en-US" w:eastAsia="en-US"/>
        </w:rPr>
        <w:t xml:space="preserve">We acknowledge that there could be frequency bands that are designed to specifically host DL only or UL only traffic and in those </w:t>
      </w:r>
      <w:proofErr w:type="gramStart"/>
      <w:r>
        <w:rPr>
          <w:lang w:val="en-US" w:eastAsia="en-US"/>
        </w:rPr>
        <w:t>cases</w:t>
      </w:r>
      <w:proofErr w:type="gramEnd"/>
      <w:r>
        <w:rPr>
          <w:lang w:val="en-US" w:eastAsia="en-US"/>
        </w:rPr>
        <w:t xml:space="preserve"> it could be implicit to understand that a cell is used for UL or DL only. However, we believe that an operator has the choice of using any cell on any band as UL or DL only, even if those bands are for both UL and DL.</w:t>
      </w:r>
    </w:p>
    <w:p w14:paraId="48C96FD7" w14:textId="707F41E9" w:rsidR="00C873BC" w:rsidRDefault="00F02C1A" w:rsidP="00F02C1A">
      <w:r>
        <w:rPr>
          <w:lang w:val="en-US" w:eastAsia="en-US"/>
        </w:rPr>
        <w:t>Based on th</w:t>
      </w:r>
      <w:r w:rsidR="008E4C2B">
        <w:rPr>
          <w:lang w:val="en-US" w:eastAsia="en-US"/>
        </w:rPr>
        <w:t>e above</w:t>
      </w:r>
      <w:r>
        <w:rPr>
          <w:lang w:val="en-US" w:eastAsia="en-US"/>
        </w:rPr>
        <w:t xml:space="preserve"> we propose that a</w:t>
      </w:r>
      <w:r w:rsidRPr="00F02C1A">
        <w:rPr>
          <w:lang w:val="en-US" w:eastAsia="en-US"/>
        </w:rPr>
        <w:t>n indication that a cell is only D</w:t>
      </w:r>
      <w:r>
        <w:rPr>
          <w:lang w:val="en-US" w:eastAsia="en-US"/>
        </w:rPr>
        <w:t>L or UL is added i</w:t>
      </w:r>
      <w:r w:rsidRPr="00F02C1A">
        <w:rPr>
          <w:lang w:val="en-US" w:eastAsia="en-US"/>
        </w:rPr>
        <w:t>n F1.</w:t>
      </w:r>
    </w:p>
    <w:p w14:paraId="0A7D9C93" w14:textId="5D1074BD" w:rsidR="00A368D5" w:rsidRPr="00647085" w:rsidRDefault="00A368D5" w:rsidP="00A368D5">
      <w:pPr>
        <w:pStyle w:val="TOC1"/>
        <w:spacing w:after="120"/>
        <w:jc w:val="both"/>
        <w:rPr>
          <w:noProof w:val="0"/>
          <w:szCs w:val="20"/>
          <w:lang w:val="en-GB"/>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F02C1A">
        <w:rPr>
          <w:lang w:val="en-GB"/>
        </w:rPr>
        <w:t>A</w:t>
      </w:r>
      <w:r w:rsidR="00F02C1A" w:rsidRPr="00F02C1A">
        <w:t xml:space="preserve">n indication that a cell is only DL or UL is added </w:t>
      </w:r>
      <w:r w:rsidR="008E4C2B">
        <w:t>over</w:t>
      </w:r>
      <w:r w:rsidR="00F02C1A" w:rsidRPr="00F02C1A">
        <w:t xml:space="preserve"> F1</w:t>
      </w:r>
      <w:r w:rsidR="00511E7D">
        <w:t xml:space="preserve"> in the Served Cell Information IE</w:t>
      </w:r>
      <w:r w:rsidR="00F02C1A" w:rsidRPr="00F02C1A">
        <w:t>.</w:t>
      </w:r>
    </w:p>
    <w:bookmarkEnd w:id="1"/>
    <w:p w14:paraId="64F68F66" w14:textId="75AEA942" w:rsidR="00B94D55" w:rsidRPr="00647085" w:rsidRDefault="001724FC" w:rsidP="001724FC">
      <w:pPr>
        <w:pStyle w:val="TOC1"/>
        <w:spacing w:after="120"/>
        <w:jc w:val="both"/>
        <w:rPr>
          <w:noProof w:val="0"/>
          <w:szCs w:val="20"/>
          <w:lang w:val="en-GB"/>
        </w:rPr>
      </w:pPr>
      <w:r w:rsidRPr="00647085">
        <w:rPr>
          <w:noProof w:val="0"/>
          <w:szCs w:val="20"/>
          <w:lang w:val="en-GB"/>
        </w:rPr>
        <w:t xml:space="preserve">Proposal </w:t>
      </w:r>
      <w:r w:rsidR="00A368D5">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w:t>
      </w:r>
      <w:r w:rsidR="0042104A" w:rsidRPr="00647085">
        <w:rPr>
          <w:noProof w:val="0"/>
          <w:szCs w:val="20"/>
          <w:lang w:val="en-GB"/>
        </w:rPr>
        <w:t>CR</w:t>
      </w:r>
      <w:r w:rsidR="00B94D55" w:rsidRPr="00647085">
        <w:rPr>
          <w:noProof w:val="0"/>
          <w:szCs w:val="20"/>
          <w:lang w:val="en-GB"/>
        </w:rPr>
        <w:t xml:space="preserve"> </w:t>
      </w:r>
      <w:r w:rsidR="00A368D5">
        <w:rPr>
          <w:noProof w:val="0"/>
          <w:szCs w:val="20"/>
          <w:lang w:val="en-GB"/>
        </w:rPr>
        <w:t>in</w:t>
      </w:r>
      <w:r w:rsidR="0042104A" w:rsidRPr="00647085">
        <w:rPr>
          <w:noProof w:val="0"/>
          <w:szCs w:val="20"/>
          <w:lang w:val="en-GB"/>
        </w:rPr>
        <w:t xml:space="preserve"> R3-1</w:t>
      </w:r>
      <w:r w:rsidR="00095165">
        <w:rPr>
          <w:noProof w:val="0"/>
          <w:szCs w:val="20"/>
          <w:lang w:val="en-GB"/>
        </w:rPr>
        <w:t>90669</w:t>
      </w:r>
      <w:r w:rsidR="00B94D55" w:rsidRPr="00647085">
        <w:rPr>
          <w:noProof w:val="0"/>
          <w:szCs w:val="20"/>
          <w:lang w:val="en-GB"/>
        </w:rPr>
        <w:t xml:space="preserve"> </w:t>
      </w:r>
      <w:r w:rsidR="00F02C1A">
        <w:t xml:space="preserve">to include relevant IE </w:t>
      </w:r>
      <w:r w:rsidR="00F02C1A" w:rsidRPr="00F02C1A">
        <w:t>in Served Cell Information</w:t>
      </w:r>
      <w:r w:rsidR="00B94D55" w:rsidRPr="00647085">
        <w:rPr>
          <w:szCs w:val="20"/>
        </w:rPr>
        <w:t>.</w:t>
      </w:r>
    </w:p>
    <w:p w14:paraId="37C3BA56" w14:textId="7FCC8AD2" w:rsidR="001724FC" w:rsidRPr="009A7317" w:rsidRDefault="001724FC" w:rsidP="001724FC">
      <w:pPr>
        <w:pStyle w:val="TOC1"/>
        <w:spacing w:after="120"/>
        <w:jc w:val="both"/>
        <w:rPr>
          <w:noProof w:val="0"/>
          <w:lang w:val="en-GB"/>
        </w:rPr>
      </w:pPr>
      <w:r w:rsidRPr="009A7317">
        <w:rPr>
          <w:noProof w:val="0"/>
          <w:lang w:val="en-GB"/>
        </w:rPr>
        <w:t xml:space="preserve">    </w:t>
      </w:r>
    </w:p>
    <w:p w14:paraId="35DF7962" w14:textId="0C8F6C26" w:rsidR="00180E79" w:rsidRPr="00CE0424" w:rsidRDefault="00A5477C" w:rsidP="00180E79">
      <w:pPr>
        <w:pStyle w:val="Heading1"/>
      </w:pPr>
      <w:r>
        <w:t>Co</w:t>
      </w:r>
      <w:r w:rsidR="00180E79" w:rsidRPr="00CE0424">
        <w:t>nclusion</w:t>
      </w:r>
    </w:p>
    <w:p w14:paraId="2D5699C4" w14:textId="1BB5BE6D" w:rsidR="00854CF8" w:rsidRDefault="00180E79" w:rsidP="001724FC">
      <w:pPr>
        <w:rPr>
          <w:lang w:eastAsia="ja-JP"/>
        </w:rPr>
      </w:pPr>
      <w:bookmarkStart w:id="2" w:name="_In-sequence_SDU_delivery"/>
      <w:bookmarkEnd w:id="2"/>
      <w:r>
        <w:t xml:space="preserve">In this contribution, </w:t>
      </w:r>
      <w:r w:rsidR="00854CF8">
        <w:t>we</w:t>
      </w:r>
      <w:r w:rsidR="001724FC">
        <w:rPr>
          <w:lang w:eastAsia="ja-JP"/>
        </w:rPr>
        <w:t xml:space="preserve"> </w:t>
      </w:r>
      <w:r w:rsidR="00E01840">
        <w:rPr>
          <w:lang w:eastAsia="ja-JP"/>
        </w:rPr>
        <w:t xml:space="preserve">presented </w:t>
      </w:r>
      <w:r w:rsidR="00F02C1A">
        <w:rPr>
          <w:lang w:eastAsia="ja-JP"/>
        </w:rPr>
        <w:t xml:space="preserve">cases that the cell direction indication over F1 is necessary </w:t>
      </w:r>
      <w:r w:rsidR="001724FC">
        <w:rPr>
          <w:lang w:eastAsia="ja-JP"/>
        </w:rPr>
        <w:t>and made the following proposal</w:t>
      </w:r>
      <w:r w:rsidR="00F02C1A">
        <w:rPr>
          <w:lang w:eastAsia="ja-JP"/>
        </w:rPr>
        <w:t>s</w:t>
      </w:r>
      <w:r w:rsidR="001724FC">
        <w:rPr>
          <w:lang w:eastAsia="ja-JP"/>
        </w:rPr>
        <w:t>.</w:t>
      </w:r>
    </w:p>
    <w:p w14:paraId="79397BEE" w14:textId="2D545EAF" w:rsidR="00F02C1A" w:rsidRDefault="00F02C1A" w:rsidP="001724FC">
      <w:pPr>
        <w:rPr>
          <w:lang w:eastAsia="ja-JP"/>
        </w:rPr>
      </w:pPr>
    </w:p>
    <w:p w14:paraId="478AEBC4" w14:textId="77777777" w:rsidR="00F02C1A" w:rsidRPr="00647085" w:rsidRDefault="00F02C1A" w:rsidP="00F02C1A">
      <w:pPr>
        <w:pStyle w:val="TOC1"/>
        <w:spacing w:after="120"/>
        <w:jc w:val="both"/>
        <w:rPr>
          <w:noProof w:val="0"/>
          <w:szCs w:val="20"/>
          <w:lang w:val="en-GB"/>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Pr>
          <w:lang w:val="en-GB"/>
        </w:rPr>
        <w:t>A</w:t>
      </w:r>
      <w:r w:rsidRPr="00F02C1A">
        <w:t>n indication that a cell is only DL or UL is added in F1.</w:t>
      </w:r>
    </w:p>
    <w:p w14:paraId="37839D4A" w14:textId="4B89154C" w:rsidR="00F02C1A" w:rsidRPr="00647085" w:rsidRDefault="00F02C1A" w:rsidP="00F02C1A">
      <w:pPr>
        <w:pStyle w:val="TOC1"/>
        <w:spacing w:after="120"/>
        <w:jc w:val="both"/>
        <w:rPr>
          <w:noProof w:val="0"/>
          <w:szCs w:val="20"/>
          <w:lang w:val="en-GB"/>
        </w:rPr>
      </w:pPr>
      <w:r w:rsidRPr="00647085">
        <w:rPr>
          <w:noProof w:val="0"/>
          <w:szCs w:val="20"/>
          <w:lang w:val="en-GB"/>
        </w:rPr>
        <w:t xml:space="preserve">Proposal </w:t>
      </w:r>
      <w:r>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CR </w:t>
      </w:r>
      <w:r>
        <w:rPr>
          <w:noProof w:val="0"/>
          <w:szCs w:val="20"/>
          <w:lang w:val="en-GB"/>
        </w:rPr>
        <w:t>in</w:t>
      </w:r>
      <w:r w:rsidRPr="00647085">
        <w:rPr>
          <w:noProof w:val="0"/>
          <w:szCs w:val="20"/>
          <w:lang w:val="en-GB"/>
        </w:rPr>
        <w:t xml:space="preserve"> R3-1</w:t>
      </w:r>
      <w:r w:rsidR="00095165">
        <w:rPr>
          <w:noProof w:val="0"/>
          <w:szCs w:val="20"/>
          <w:lang w:val="en-GB"/>
        </w:rPr>
        <w:t>90669</w:t>
      </w:r>
      <w:bookmarkStart w:id="3" w:name="_GoBack"/>
      <w:bookmarkEnd w:id="3"/>
      <w:r w:rsidRPr="00647085">
        <w:rPr>
          <w:noProof w:val="0"/>
          <w:szCs w:val="20"/>
          <w:lang w:val="en-GB"/>
        </w:rPr>
        <w:t xml:space="preserve"> </w:t>
      </w:r>
      <w:r>
        <w:t xml:space="preserve">to include relevant IE </w:t>
      </w:r>
      <w:r w:rsidRPr="00F02C1A">
        <w:t>in Served Cell Information</w:t>
      </w:r>
      <w:r w:rsidRPr="00647085">
        <w:rPr>
          <w:szCs w:val="20"/>
        </w:rPr>
        <w:t>.</w:t>
      </w:r>
    </w:p>
    <w:p w14:paraId="18C137EB" w14:textId="77777777" w:rsidR="00F02C1A" w:rsidRDefault="00F02C1A" w:rsidP="001724FC">
      <w:pPr>
        <w:rPr>
          <w:lang w:eastAsia="ja-JP"/>
        </w:rPr>
      </w:pPr>
    </w:p>
    <w:p w14:paraId="1BEECDB3" w14:textId="77777777" w:rsidR="00706E31" w:rsidRDefault="00706E31" w:rsidP="00586166">
      <w:pPr>
        <w:pStyle w:val="Heading3"/>
        <w:numPr>
          <w:ilvl w:val="0"/>
          <w:numId w:val="0"/>
        </w:numPr>
        <w:ind w:left="720"/>
      </w:pPr>
    </w:p>
    <w:sectPr w:rsidR="00706E31" w:rsidSect="000F16A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CD252" w14:textId="77777777" w:rsidR="008C64D1" w:rsidRDefault="008C64D1">
      <w:r>
        <w:separator/>
      </w:r>
    </w:p>
  </w:endnote>
  <w:endnote w:type="continuationSeparator" w:id="0">
    <w:p w14:paraId="544EC42D" w14:textId="77777777" w:rsidR="008C64D1" w:rsidRDefault="008C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D012C" w14:textId="77777777" w:rsidR="008C64D1" w:rsidRDefault="008C64D1">
      <w:r>
        <w:separator/>
      </w:r>
    </w:p>
  </w:footnote>
  <w:footnote w:type="continuationSeparator" w:id="0">
    <w:p w14:paraId="2598686A" w14:textId="77777777" w:rsidR="008C64D1" w:rsidRDefault="008C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9"/>
  </w:num>
  <w:num w:numId="11">
    <w:abstractNumId w:val="11"/>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1557"/>
    <w:rsid w:val="000924C1"/>
    <w:rsid w:val="000924F0"/>
    <w:rsid w:val="0009305A"/>
    <w:rsid w:val="00093474"/>
    <w:rsid w:val="0009510F"/>
    <w:rsid w:val="00095165"/>
    <w:rsid w:val="000967EC"/>
    <w:rsid w:val="00097AAF"/>
    <w:rsid w:val="000A07F6"/>
    <w:rsid w:val="000A1B7B"/>
    <w:rsid w:val="000A2A30"/>
    <w:rsid w:val="000A56F2"/>
    <w:rsid w:val="000A6F38"/>
    <w:rsid w:val="000B0783"/>
    <w:rsid w:val="000B1A38"/>
    <w:rsid w:val="000B252B"/>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16E2"/>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704"/>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D7404"/>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148"/>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1EE3"/>
    <w:rsid w:val="00422190"/>
    <w:rsid w:val="004238C9"/>
    <w:rsid w:val="004241FD"/>
    <w:rsid w:val="004242F4"/>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A5B91"/>
    <w:rsid w:val="004B1EB4"/>
    <w:rsid w:val="004B29D1"/>
    <w:rsid w:val="004B3291"/>
    <w:rsid w:val="004B556D"/>
    <w:rsid w:val="004B7C0C"/>
    <w:rsid w:val="004C2EA6"/>
    <w:rsid w:val="004C323A"/>
    <w:rsid w:val="004C37A1"/>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1D41"/>
    <w:rsid w:val="00502025"/>
    <w:rsid w:val="00502D73"/>
    <w:rsid w:val="00505C27"/>
    <w:rsid w:val="00505ECC"/>
    <w:rsid w:val="00506557"/>
    <w:rsid w:val="0050677A"/>
    <w:rsid w:val="005072CE"/>
    <w:rsid w:val="00507893"/>
    <w:rsid w:val="005108D8"/>
    <w:rsid w:val="005116F9"/>
    <w:rsid w:val="00511E7D"/>
    <w:rsid w:val="00512B04"/>
    <w:rsid w:val="00513FCF"/>
    <w:rsid w:val="005153A7"/>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3CE"/>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879F5"/>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4E0C"/>
    <w:rsid w:val="007560EA"/>
    <w:rsid w:val="007571E1"/>
    <w:rsid w:val="00757DBF"/>
    <w:rsid w:val="007604B2"/>
    <w:rsid w:val="00760FCB"/>
    <w:rsid w:val="00762737"/>
    <w:rsid w:val="00762FB8"/>
    <w:rsid w:val="00763069"/>
    <w:rsid w:val="007634EE"/>
    <w:rsid w:val="00763AD2"/>
    <w:rsid w:val="00763BC8"/>
    <w:rsid w:val="00765281"/>
    <w:rsid w:val="00765899"/>
    <w:rsid w:val="00766BAD"/>
    <w:rsid w:val="00766E11"/>
    <w:rsid w:val="00770149"/>
    <w:rsid w:val="00772B7A"/>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1FF9"/>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5DA"/>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4D1"/>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4C2B"/>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0B6"/>
    <w:rsid w:val="009B4DF4"/>
    <w:rsid w:val="009B4E12"/>
    <w:rsid w:val="009B564E"/>
    <w:rsid w:val="009B5D3F"/>
    <w:rsid w:val="009B613C"/>
    <w:rsid w:val="009B69DD"/>
    <w:rsid w:val="009B7E87"/>
    <w:rsid w:val="009C02B6"/>
    <w:rsid w:val="009C0F39"/>
    <w:rsid w:val="009C33C1"/>
    <w:rsid w:val="009C3823"/>
    <w:rsid w:val="009C403E"/>
    <w:rsid w:val="009C49EC"/>
    <w:rsid w:val="009C772C"/>
    <w:rsid w:val="009D05E8"/>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10F"/>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2D1D"/>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45D1"/>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E0"/>
    <w:rsid w:val="00DF1C34"/>
    <w:rsid w:val="00DF20D4"/>
    <w:rsid w:val="00DF306A"/>
    <w:rsid w:val="00DF37A0"/>
    <w:rsid w:val="00DF3AE7"/>
    <w:rsid w:val="00DF4C2E"/>
    <w:rsid w:val="00DF5C56"/>
    <w:rsid w:val="00DF794F"/>
    <w:rsid w:val="00E002D7"/>
    <w:rsid w:val="00E01840"/>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AA0"/>
    <w:rsid w:val="00E4258F"/>
    <w:rsid w:val="00E446F1"/>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4EA2"/>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49F4"/>
    <w:rsid w:val="00ED6433"/>
    <w:rsid w:val="00EE1309"/>
    <w:rsid w:val="00EE1A3D"/>
    <w:rsid w:val="00EE1E64"/>
    <w:rsid w:val="00EE6E7E"/>
    <w:rsid w:val="00EE7F85"/>
    <w:rsid w:val="00EF08AA"/>
    <w:rsid w:val="00EF18FE"/>
    <w:rsid w:val="00EF1F5F"/>
    <w:rsid w:val="00EF1FBF"/>
    <w:rsid w:val="00EF4407"/>
    <w:rsid w:val="00EF4DCB"/>
    <w:rsid w:val="00EF5787"/>
    <w:rsid w:val="00EF60D0"/>
    <w:rsid w:val="00EF682C"/>
    <w:rsid w:val="00EF6CFB"/>
    <w:rsid w:val="00F021D1"/>
    <w:rsid w:val="00F02C1A"/>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6AF8"/>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75532223">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C31CA5AD-3B8A-45CC-BB46-E9FB677C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649</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2019-02-15T21:14:00Z</dcterms:created>
  <dcterms:modified xsi:type="dcterms:W3CDTF">2019-02-15T21:14:00Z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